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22D613" w14:textId="77777777" w:rsidR="00B05C56" w:rsidRDefault="00B05C56">
      <w:bookmarkStart w:id="0" w:name="_GoBack"/>
      <w:bookmarkEnd w:id="0"/>
    </w:p>
    <w:p w14:paraId="417B7E87" w14:textId="0FB1FD19" w:rsidR="001B778A" w:rsidRPr="004669E4" w:rsidRDefault="001B778A" w:rsidP="00B05C56">
      <w:pPr>
        <w:rPr>
          <w:b/>
          <w:sz w:val="28"/>
          <w:szCs w:val="28"/>
        </w:rPr>
      </w:pPr>
      <w:bookmarkStart w:id="1" w:name="_Hlk526409116"/>
      <w:r w:rsidRPr="004669E4">
        <w:rPr>
          <w:b/>
          <w:sz w:val="28"/>
          <w:szCs w:val="28"/>
        </w:rPr>
        <w:t>Co</w:t>
      </w:r>
      <w:r w:rsidR="008E4A6D">
        <w:rPr>
          <w:b/>
          <w:sz w:val="28"/>
          <w:szCs w:val="28"/>
        </w:rPr>
        <w:t>mpatibility</w:t>
      </w:r>
      <w:r w:rsidRPr="004669E4">
        <w:rPr>
          <w:b/>
          <w:sz w:val="28"/>
          <w:szCs w:val="28"/>
        </w:rPr>
        <w:t xml:space="preserve"> </w:t>
      </w:r>
      <w:r w:rsidR="00D56DBC">
        <w:rPr>
          <w:b/>
          <w:sz w:val="28"/>
          <w:szCs w:val="28"/>
        </w:rPr>
        <w:t xml:space="preserve">of </w:t>
      </w:r>
      <w:r w:rsidRPr="004669E4">
        <w:rPr>
          <w:b/>
          <w:sz w:val="28"/>
          <w:szCs w:val="28"/>
        </w:rPr>
        <w:t>Design Rating</w:t>
      </w:r>
      <w:bookmarkEnd w:id="1"/>
      <w:r w:rsidR="00D56DBC">
        <w:rPr>
          <w:b/>
          <w:sz w:val="28"/>
          <w:szCs w:val="28"/>
        </w:rPr>
        <w:t>: N</w:t>
      </w:r>
      <w:r w:rsidR="008E4A6D">
        <w:rPr>
          <w:b/>
          <w:sz w:val="28"/>
          <w:szCs w:val="28"/>
        </w:rPr>
        <w:t xml:space="preserve">ew </w:t>
      </w:r>
      <w:r w:rsidR="00D56DBC">
        <w:rPr>
          <w:b/>
          <w:sz w:val="28"/>
          <w:szCs w:val="28"/>
        </w:rPr>
        <w:t>C</w:t>
      </w:r>
      <w:r w:rsidR="008E4A6D">
        <w:rPr>
          <w:b/>
          <w:sz w:val="28"/>
          <w:szCs w:val="28"/>
        </w:rPr>
        <w:t>onstruction in</w:t>
      </w:r>
      <w:r w:rsidRPr="004669E4">
        <w:rPr>
          <w:b/>
          <w:sz w:val="28"/>
          <w:szCs w:val="28"/>
        </w:rPr>
        <w:t xml:space="preserve"> a Historic District Setting</w:t>
      </w:r>
    </w:p>
    <w:p w14:paraId="39B1E2E6" w14:textId="77777777" w:rsidR="00B05C56" w:rsidRDefault="00B05C56" w:rsidP="00B05C56">
      <w:r>
        <w:t xml:space="preserve"> </w:t>
      </w:r>
    </w:p>
    <w:p w14:paraId="785A73EF" w14:textId="37B892DC" w:rsidR="00B05C56" w:rsidRDefault="00B05C56" w:rsidP="00B05C56">
      <w:r>
        <w:t xml:space="preserve">This rating </w:t>
      </w:r>
      <w:r w:rsidR="00361F3B">
        <w:t>framework</w:t>
      </w:r>
      <w:r>
        <w:t xml:space="preserve"> provides the framework </w:t>
      </w:r>
      <w:r w:rsidR="00743FF6">
        <w:t xml:space="preserve">for evaluating </w:t>
      </w:r>
      <w:r>
        <w:t xml:space="preserve">the visual compatibility of a proposed construction project for a specific site in </w:t>
      </w:r>
      <w:r w:rsidR="004D73C4">
        <w:t>the Browne’s Addition local</w:t>
      </w:r>
      <w:r>
        <w:t xml:space="preserve"> </w:t>
      </w:r>
      <w:r w:rsidR="004127F0">
        <w:t>H</w:t>
      </w:r>
      <w:r>
        <w:t xml:space="preserve">istoric </w:t>
      </w:r>
      <w:r w:rsidR="004127F0">
        <w:t>D</w:t>
      </w:r>
      <w:r>
        <w:t>istrict</w:t>
      </w:r>
      <w:r w:rsidR="004127F0">
        <w:t>,</w:t>
      </w:r>
      <w:r>
        <w:t xml:space="preserve"> </w:t>
      </w:r>
      <w:r w:rsidR="004127F0">
        <w:t>which is listed in the S</w:t>
      </w:r>
      <w:r w:rsidR="004D73C4">
        <w:t>pokane</w:t>
      </w:r>
      <w:r w:rsidR="004127F0">
        <w:t xml:space="preserve"> Register of Historic Places</w:t>
      </w:r>
      <w:r>
        <w:t xml:space="preserve">. The </w:t>
      </w:r>
      <w:r w:rsidR="00197BAE">
        <w:t>rating</w:t>
      </w:r>
      <w:r>
        <w:t xml:space="preserve"> allows for variety in meeting the stated goal of visual compatibility without </w:t>
      </w:r>
      <w:r w:rsidR="001B778A">
        <w:t>requiring specific materials or elements</w:t>
      </w:r>
      <w:r>
        <w:t xml:space="preserve">.   </w:t>
      </w:r>
    </w:p>
    <w:p w14:paraId="19E10149" w14:textId="1E5AFBAA" w:rsidR="003C0E8C" w:rsidRDefault="008B7160" w:rsidP="00B05C56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FA9E879" wp14:editId="3A7FA2B2">
                <wp:simplePos x="0" y="0"/>
                <wp:positionH relativeFrom="column">
                  <wp:posOffset>692150</wp:posOffset>
                </wp:positionH>
                <wp:positionV relativeFrom="paragraph">
                  <wp:posOffset>186690</wp:posOffset>
                </wp:positionV>
                <wp:extent cx="4923155" cy="1404620"/>
                <wp:effectExtent l="0" t="0" r="10795" b="1968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231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8E645A" w14:textId="2CEB767A" w:rsidR="008B7160" w:rsidRPr="00FD7923" w:rsidRDefault="008B7160" w:rsidP="008B7160">
                            <w:pPr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</w:pPr>
                            <w:r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Scoring</w:t>
                            </w:r>
                            <w:r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D7923"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 xml:space="preserve">       </w:t>
                            </w:r>
                            <w:r w:rsidR="00FD7923"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>Urban Form</w:t>
                            </w:r>
                            <w:r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ab/>
                              <w:t>Design</w:t>
                            </w:r>
                            <w:r w:rsidR="00FD7923"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ab/>
                            </w:r>
                            <w:r w:rsidR="00FD7923" w:rsidRPr="00FD7923">
                              <w:rPr>
                                <w:rFonts w:eastAsia="Calibri"/>
                                <w:b/>
                                <w:sz w:val="22"/>
                                <w:szCs w:val="22"/>
                              </w:rPr>
                              <w:tab/>
                              <w:t>Overall</w:t>
                            </w:r>
                          </w:p>
                          <w:p w14:paraId="7EACBCD0" w14:textId="3CAD1CA0" w:rsidR="008B7160" w:rsidRPr="008B7160" w:rsidRDefault="008B7160" w:rsidP="008B7160">
                            <w:pPr>
                              <w:rPr>
                                <w:rFonts w:eastAsia="Calibri"/>
                                <w:sz w:val="22"/>
                                <w:szCs w:val="22"/>
                              </w:rPr>
                            </w:pPr>
                            <w:bookmarkStart w:id="2" w:name="_Hlk526759085"/>
                            <w:bookmarkStart w:id="3" w:name="_Hlk526759086"/>
                            <w:bookmarkStart w:id="4" w:name="_Hlk526759087"/>
                            <w:bookmarkStart w:id="5" w:name="_Hlk526759088"/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Highly Compatible (80%)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4</w:t>
                            </w:r>
                            <w:r w:rsidR="00EF6142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2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+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="00B24285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72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+</w:t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="0017182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1</w:t>
                            </w:r>
                            <w:r w:rsidR="00B24285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1</w:t>
                            </w:r>
                            <w:r w:rsidR="00EF6142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4</w:t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  <w:p w14:paraId="43D47BF6" w14:textId="4167DBD6" w:rsidR="008B7160" w:rsidRPr="008B7160" w:rsidRDefault="008B7160" w:rsidP="008B7160">
                            <w:pPr>
                              <w:rPr>
                                <w:rFonts w:eastAsia="Calibri"/>
                                <w:sz w:val="22"/>
                                <w:szCs w:val="22"/>
                              </w:rPr>
                            </w:pP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Compatible (60%)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3</w:t>
                            </w:r>
                            <w:r w:rsidR="00EF6142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1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+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  <w:t>5</w:t>
                            </w:r>
                            <w:r w:rsidR="00B24285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4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+</w:t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="0017182D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8</w:t>
                            </w:r>
                            <w:r w:rsidR="00EF6142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5</w:t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+</w:t>
                            </w:r>
                          </w:p>
                          <w:p w14:paraId="76864B2E" w14:textId="441A2FCA" w:rsidR="008B7160" w:rsidRDefault="008B7160"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Incompatible (50%)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  <w:t>&lt;2</w:t>
                            </w:r>
                            <w:r w:rsidR="00EF6142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6</w:t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Pr="008B7160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  <w:t>&lt;4</w:t>
                            </w:r>
                            <w:r w:rsidR="00B24285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5</w:t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</w:r>
                            <w:r w:rsidR="00FD7923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ab/>
                              <w:t>&lt;</w:t>
                            </w:r>
                            <w:r w:rsidR="00B24285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7</w:t>
                            </w:r>
                            <w:r w:rsidR="00EF6142">
                              <w:rPr>
                                <w:rFonts w:eastAsia="Calibri"/>
                                <w:sz w:val="22"/>
                                <w:szCs w:val="22"/>
                              </w:rPr>
                              <w:t>1</w:t>
                            </w:r>
                            <w:bookmarkEnd w:id="2"/>
                            <w:bookmarkEnd w:id="3"/>
                            <w:bookmarkEnd w:id="4"/>
                            <w:bookmarkEnd w:id="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FA9E8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4.5pt;margin-top:14.7pt;width:387.6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">
                <v:textbox style="mso-fit-shape-to-text:t">
                  <w:txbxContent>
                    <w:p w14:paraId="718E645A" w14:textId="2CEB767A" w:rsidR="008B7160" w:rsidRPr="00FD7923" w:rsidRDefault="008B7160" w:rsidP="008B7160">
                      <w:pPr>
                        <w:rPr>
                          <w:rFonts w:eastAsia="Calibri"/>
                          <w:b/>
                          <w:sz w:val="22"/>
                          <w:szCs w:val="22"/>
                        </w:rPr>
                      </w:pPr>
                      <w:r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Scoring</w:t>
                      </w:r>
                      <w:r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ab/>
                      </w:r>
                      <w:r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ab/>
                      </w:r>
                      <w:r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ab/>
                      </w:r>
                      <w:r w:rsidR="00FD7923"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 xml:space="preserve">       </w:t>
                      </w:r>
                      <w:r w:rsidR="00FD7923"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ab/>
                      </w:r>
                      <w:r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>Urban Form</w:t>
                      </w:r>
                      <w:r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ab/>
                        <w:t>Design</w:t>
                      </w:r>
                      <w:r w:rsidR="00FD7923"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ab/>
                      </w:r>
                      <w:r w:rsidR="00FD7923" w:rsidRPr="00FD7923">
                        <w:rPr>
                          <w:rFonts w:eastAsia="Calibri"/>
                          <w:b/>
                          <w:sz w:val="22"/>
                          <w:szCs w:val="22"/>
                        </w:rPr>
                        <w:tab/>
                        <w:t>Overall</w:t>
                      </w:r>
                    </w:p>
                    <w:p w14:paraId="7EACBCD0" w14:textId="3CAD1CA0" w:rsidR="008B7160" w:rsidRPr="008B7160" w:rsidRDefault="008B7160" w:rsidP="008B7160">
                      <w:pPr>
                        <w:rPr>
                          <w:rFonts w:eastAsia="Calibri"/>
                          <w:sz w:val="22"/>
                          <w:szCs w:val="22"/>
                        </w:rPr>
                      </w:pPr>
                      <w:bookmarkStart w:id="6" w:name="_Hlk526759085"/>
                      <w:bookmarkStart w:id="7" w:name="_Hlk526759086"/>
                      <w:bookmarkStart w:id="8" w:name="_Hlk526759087"/>
                      <w:bookmarkStart w:id="9" w:name="_Hlk526759088"/>
                      <w:bookmarkStart w:id="10" w:name="_GoBack"/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>Highly Compatible (80%)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>4</w:t>
                      </w:r>
                      <w:r w:rsidR="00EF6142">
                        <w:rPr>
                          <w:rFonts w:eastAsia="Calibri"/>
                          <w:sz w:val="22"/>
                          <w:szCs w:val="22"/>
                        </w:rPr>
                        <w:t>2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>+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="00B24285">
                        <w:rPr>
                          <w:rFonts w:eastAsia="Calibri"/>
                          <w:sz w:val="22"/>
                          <w:szCs w:val="22"/>
                        </w:rPr>
                        <w:t>72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>+</w:t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="0017182D">
                        <w:rPr>
                          <w:rFonts w:eastAsia="Calibri"/>
                          <w:sz w:val="22"/>
                          <w:szCs w:val="22"/>
                        </w:rPr>
                        <w:t>1</w:t>
                      </w:r>
                      <w:r w:rsidR="00B24285">
                        <w:rPr>
                          <w:rFonts w:eastAsia="Calibri"/>
                          <w:sz w:val="22"/>
                          <w:szCs w:val="22"/>
                        </w:rPr>
                        <w:t>1</w:t>
                      </w:r>
                      <w:r w:rsidR="00EF6142">
                        <w:rPr>
                          <w:rFonts w:eastAsia="Calibri"/>
                          <w:sz w:val="22"/>
                          <w:szCs w:val="22"/>
                        </w:rPr>
                        <w:t>4</w:t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>+</w:t>
                      </w:r>
                    </w:p>
                    <w:p w14:paraId="43D47BF6" w14:textId="4167DBD6" w:rsidR="008B7160" w:rsidRPr="008B7160" w:rsidRDefault="008B7160" w:rsidP="008B7160">
                      <w:pPr>
                        <w:rPr>
                          <w:rFonts w:eastAsia="Calibri"/>
                          <w:sz w:val="22"/>
                          <w:szCs w:val="22"/>
                        </w:rPr>
                      </w:pP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>Compatible (60%)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>3</w:t>
                      </w:r>
                      <w:r w:rsidR="00EF6142">
                        <w:rPr>
                          <w:rFonts w:eastAsia="Calibri"/>
                          <w:sz w:val="22"/>
                          <w:szCs w:val="22"/>
                        </w:rPr>
                        <w:t>1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>+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  <w:t>5</w:t>
                      </w:r>
                      <w:r w:rsidR="00B24285">
                        <w:rPr>
                          <w:rFonts w:eastAsia="Calibri"/>
                          <w:sz w:val="22"/>
                          <w:szCs w:val="22"/>
                        </w:rPr>
                        <w:t>4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>+</w:t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="0017182D">
                        <w:rPr>
                          <w:rFonts w:eastAsia="Calibri"/>
                          <w:sz w:val="22"/>
                          <w:szCs w:val="22"/>
                        </w:rPr>
                        <w:t>8</w:t>
                      </w:r>
                      <w:r w:rsidR="00EF6142">
                        <w:rPr>
                          <w:rFonts w:eastAsia="Calibri"/>
                          <w:sz w:val="22"/>
                          <w:szCs w:val="22"/>
                        </w:rPr>
                        <w:t>5</w:t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>+</w:t>
                      </w:r>
                    </w:p>
                    <w:p w14:paraId="76864B2E" w14:textId="441A2FCA" w:rsidR="008B7160" w:rsidRDefault="008B7160"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>Incompatible (50%)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  <w:t>&lt;2</w:t>
                      </w:r>
                      <w:r w:rsidR="00EF6142">
                        <w:rPr>
                          <w:rFonts w:eastAsia="Calibri"/>
                          <w:sz w:val="22"/>
                          <w:szCs w:val="22"/>
                        </w:rPr>
                        <w:t>6</w:t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Pr="008B7160">
                        <w:rPr>
                          <w:rFonts w:eastAsia="Calibri"/>
                          <w:sz w:val="22"/>
                          <w:szCs w:val="22"/>
                        </w:rPr>
                        <w:tab/>
                        <w:t>&lt;4</w:t>
                      </w:r>
                      <w:r w:rsidR="00B24285">
                        <w:rPr>
                          <w:rFonts w:eastAsia="Calibri"/>
                          <w:sz w:val="22"/>
                          <w:szCs w:val="22"/>
                        </w:rPr>
                        <w:t>5</w:t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ab/>
                      </w:r>
                      <w:r w:rsidR="00FD7923">
                        <w:rPr>
                          <w:rFonts w:eastAsia="Calibri"/>
                          <w:sz w:val="22"/>
                          <w:szCs w:val="22"/>
                        </w:rPr>
                        <w:tab/>
                        <w:t>&lt;</w:t>
                      </w:r>
                      <w:r w:rsidR="00B24285">
                        <w:rPr>
                          <w:rFonts w:eastAsia="Calibri"/>
                          <w:sz w:val="22"/>
                          <w:szCs w:val="22"/>
                        </w:rPr>
                        <w:t>7</w:t>
                      </w:r>
                      <w:r w:rsidR="00EF6142">
                        <w:rPr>
                          <w:rFonts w:eastAsia="Calibri"/>
                          <w:sz w:val="22"/>
                          <w:szCs w:val="22"/>
                        </w:rPr>
                        <w:t>1</w:t>
                      </w:r>
                      <w:bookmarkEnd w:id="6"/>
                      <w:bookmarkEnd w:id="7"/>
                      <w:bookmarkEnd w:id="8"/>
                      <w:bookmarkEnd w:id="9"/>
                      <w:bookmarkEnd w:id="10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D1A0BD" w14:textId="109AD145" w:rsidR="003C0E8C" w:rsidRDefault="003C0E8C" w:rsidP="00DF4BA4">
      <w:pPr>
        <w:jc w:val="center"/>
      </w:pPr>
    </w:p>
    <w:p w14:paraId="411E849F" w14:textId="6D520303" w:rsidR="00B05C56" w:rsidRDefault="00B05C56" w:rsidP="00B05C56"/>
    <w:p w14:paraId="7F8DDD59" w14:textId="77777777" w:rsidR="00FD7923" w:rsidRDefault="00FD7923" w:rsidP="00B05C56">
      <w:pPr>
        <w:rPr>
          <w:b/>
        </w:rPr>
      </w:pPr>
    </w:p>
    <w:p w14:paraId="1E9E0393" w14:textId="77777777" w:rsidR="00FD7923" w:rsidRDefault="00FD7923" w:rsidP="00B05C56">
      <w:pPr>
        <w:rPr>
          <w:b/>
        </w:rPr>
      </w:pPr>
    </w:p>
    <w:p w14:paraId="11333970" w14:textId="77777777" w:rsidR="00FD7923" w:rsidRDefault="00FD7923" w:rsidP="00B05C56">
      <w:pPr>
        <w:rPr>
          <w:b/>
        </w:rPr>
      </w:pPr>
    </w:p>
    <w:p w14:paraId="7E4A8B0A" w14:textId="2EFBE955" w:rsidR="00131F98" w:rsidRPr="00DF4BA4" w:rsidRDefault="00131F98" w:rsidP="00B05C56">
      <w:pPr>
        <w:rPr>
          <w:b/>
        </w:rPr>
      </w:pPr>
      <w:r w:rsidRPr="00DF4BA4">
        <w:rPr>
          <w:b/>
        </w:rPr>
        <w:t>Section1: Context</w:t>
      </w:r>
    </w:p>
    <w:p w14:paraId="4AD297B6" w14:textId="67E04EA6" w:rsidR="00D00D79" w:rsidRDefault="000A77D0" w:rsidP="00B05C56">
      <w:r>
        <w:t>Context</w:t>
      </w:r>
      <w:r w:rsidR="00131F98">
        <w:t xml:space="preserve"> compatibility</w:t>
      </w:r>
      <w:r w:rsidR="00B05C56">
        <w:t xml:space="preserve">: </w:t>
      </w:r>
      <w:r w:rsidR="001B778A">
        <w:t xml:space="preserve"> </w:t>
      </w:r>
      <w:r w:rsidR="00131F98">
        <w:tab/>
      </w:r>
      <w:r w:rsidR="00131F98">
        <w:tab/>
      </w:r>
      <w:r w:rsidR="00131F98">
        <w:tab/>
      </w:r>
      <w:r w:rsidR="00131F98">
        <w:tab/>
      </w:r>
    </w:p>
    <w:p w14:paraId="31A72FEB" w14:textId="30F9DB8E" w:rsidR="00FD7923" w:rsidRDefault="00131F98" w:rsidP="00D00D79">
      <w:pPr>
        <w:ind w:left="720"/>
      </w:pPr>
      <w:r>
        <w:t xml:space="preserve">Historic </w:t>
      </w:r>
      <w:r w:rsidR="00C719C0">
        <w:t>Character</w:t>
      </w:r>
      <w:r w:rsidR="00FD7923">
        <w:t xml:space="preserve"> Area</w:t>
      </w:r>
      <w:r w:rsidR="00FD7923">
        <w:tab/>
      </w:r>
      <w:r w:rsidR="00FD7923">
        <w:tab/>
      </w:r>
      <w:r w:rsidR="00FD7923">
        <w:tab/>
      </w:r>
      <w:r w:rsidR="00FD7923">
        <w:tab/>
      </w:r>
      <w:r w:rsidR="00FD7923">
        <w:tab/>
      </w:r>
      <w:r w:rsidR="00FD7923">
        <w:tab/>
      </w:r>
      <w:r w:rsidR="00FD7923">
        <w:tab/>
        <w:t>0-4</w:t>
      </w:r>
    </w:p>
    <w:p w14:paraId="0BE17CA7" w14:textId="148D683C" w:rsidR="00131F98" w:rsidRDefault="00131F98" w:rsidP="00D00D79">
      <w:pPr>
        <w:ind w:left="720"/>
      </w:pPr>
      <w:r>
        <w:t>Facing blockfronts</w:t>
      </w:r>
      <w:r>
        <w:tab/>
      </w:r>
      <w:r>
        <w:tab/>
      </w:r>
      <w:r>
        <w:tab/>
      </w:r>
      <w:r>
        <w:tab/>
      </w:r>
      <w:r w:rsidR="00FD7923">
        <w:tab/>
      </w:r>
      <w:r w:rsidR="00FD7923">
        <w:tab/>
      </w:r>
      <w:r w:rsidR="00FD7923">
        <w:tab/>
      </w:r>
      <w:r w:rsidR="00FD7923">
        <w:tab/>
        <w:t>0-5</w:t>
      </w:r>
    </w:p>
    <w:p w14:paraId="6CFA28EC" w14:textId="1F384EB0" w:rsidR="007A7980" w:rsidRDefault="00131F98" w:rsidP="00D00D79">
      <w:pPr>
        <w:ind w:left="720"/>
      </w:pPr>
      <w:r>
        <w:t>Adjacent buildings</w:t>
      </w:r>
      <w:r w:rsidR="00C256A3">
        <w:t xml:space="preserve"> </w:t>
      </w:r>
      <w:r>
        <w:tab/>
      </w:r>
      <w:r>
        <w:tab/>
      </w:r>
      <w:r>
        <w:tab/>
      </w:r>
      <w:r>
        <w:tab/>
      </w:r>
      <w:r w:rsidR="00FD7923">
        <w:tab/>
      </w:r>
      <w:r w:rsidR="00FD7923">
        <w:tab/>
      </w:r>
      <w:r w:rsidR="00FD7923">
        <w:tab/>
      </w:r>
      <w:r w:rsidR="00FD7923">
        <w:tab/>
        <w:t xml:space="preserve">0-6 </w:t>
      </w:r>
      <w:r w:rsidR="00FD7923">
        <w:tab/>
      </w:r>
      <w:r w:rsidR="00EF6142">
        <w:t xml:space="preserve">  </w:t>
      </w:r>
      <w:r>
        <w:t>__/</w:t>
      </w:r>
      <w:r w:rsidR="00FD7923">
        <w:t>15</w:t>
      </w:r>
    </w:p>
    <w:p w14:paraId="5400DC0C" w14:textId="50C57382" w:rsidR="007A7980" w:rsidRDefault="00474C6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</w:p>
    <w:p w14:paraId="40068B01" w14:textId="4B4A04D1" w:rsidR="00743FF6" w:rsidRDefault="00DF4BA4">
      <w:pPr>
        <w:rPr>
          <w:b/>
        </w:rPr>
      </w:pPr>
      <w:r>
        <w:rPr>
          <w:b/>
        </w:rPr>
        <w:t xml:space="preserve">Section 2: </w:t>
      </w:r>
      <w:r w:rsidR="007A7980" w:rsidRPr="001628DD">
        <w:rPr>
          <w:b/>
        </w:rPr>
        <w:t xml:space="preserve">Urban </w:t>
      </w:r>
      <w:r w:rsidR="001628DD">
        <w:rPr>
          <w:b/>
        </w:rPr>
        <w:t>F</w:t>
      </w:r>
      <w:r w:rsidR="00743FF6">
        <w:rPr>
          <w:b/>
        </w:rPr>
        <w:t>orm</w:t>
      </w:r>
    </w:p>
    <w:p w14:paraId="560F8C9D" w14:textId="72B3A0DC" w:rsidR="007A7980" w:rsidRDefault="00722A75">
      <w:r>
        <w:tab/>
      </w:r>
      <w:r>
        <w:tab/>
      </w:r>
      <w:r w:rsidR="00743FF6">
        <w:tab/>
      </w:r>
      <w:r w:rsidR="00743FF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D92486A" w14:textId="6F703823" w:rsidR="007A7980" w:rsidRPr="004127F0" w:rsidRDefault="008B7FDB">
      <w:r>
        <w:t>S</w:t>
      </w:r>
      <w:r w:rsidR="00131F98">
        <w:t>treetscape</w:t>
      </w:r>
      <w:r w:rsidR="007B4105">
        <w:t xml:space="preserve"> factors</w:t>
      </w:r>
      <w:r w:rsidR="007A7980">
        <w:tab/>
      </w:r>
      <w:r w:rsidR="00131F98">
        <w:tab/>
      </w:r>
      <w:r>
        <w:tab/>
      </w:r>
    </w:p>
    <w:p w14:paraId="574B119A" w14:textId="46AC1B50" w:rsidR="008B7FDB" w:rsidRDefault="007A7980">
      <w:r w:rsidRPr="004127F0">
        <w:tab/>
      </w:r>
      <w:r w:rsidR="008B7FDB" w:rsidRPr="008B7FDB">
        <w:t>M</w:t>
      </w:r>
      <w:r w:rsidR="008B7FDB">
        <w:t>aintains c</w:t>
      </w:r>
      <w:r w:rsidR="008B7FDB" w:rsidRPr="008B7FDB">
        <w:t>ommon set</w:t>
      </w:r>
      <w:r w:rsidR="008B7FDB">
        <w:t>back</w:t>
      </w:r>
      <w:r w:rsidR="007B4105">
        <w:t xml:space="preserve"> on blockfront</w:t>
      </w:r>
      <w:r w:rsidR="008B7FDB">
        <w:tab/>
      </w:r>
      <w:r w:rsidR="008B7FDB">
        <w:tab/>
      </w:r>
      <w:r w:rsidR="008B7FDB">
        <w:tab/>
      </w:r>
      <w:r w:rsidR="008B7FDB">
        <w:tab/>
      </w:r>
      <w:r w:rsidR="008B7FDB">
        <w:tab/>
        <w:t>0-4</w:t>
      </w:r>
      <w:r w:rsidR="008B7FDB">
        <w:tab/>
      </w:r>
      <w:r w:rsidR="008B7FDB">
        <w:tab/>
      </w:r>
    </w:p>
    <w:p w14:paraId="730BD807" w14:textId="1F37E540" w:rsidR="008B7FDB" w:rsidRDefault="008B7FDB">
      <w:r>
        <w:tab/>
        <w:t>Maintains lot coverage patterns</w:t>
      </w:r>
      <w:r>
        <w:tab/>
      </w:r>
      <w:r>
        <w:tab/>
      </w:r>
      <w:r>
        <w:tab/>
      </w:r>
      <w:r>
        <w:tab/>
      </w:r>
      <w:r>
        <w:tab/>
      </w:r>
      <w:r>
        <w:tab/>
        <w:t>0-</w:t>
      </w:r>
      <w:r w:rsidR="00FD7923">
        <w:t>3</w:t>
      </w:r>
    </w:p>
    <w:p w14:paraId="57B17363" w14:textId="1CB09650" w:rsidR="00131F98" w:rsidRPr="008B7FDB" w:rsidRDefault="008B7FDB">
      <w:r>
        <w:tab/>
        <w:t>Maintains rhythm, spacing</w:t>
      </w:r>
      <w:r w:rsidR="007A7980" w:rsidRPr="008B7FDB">
        <w:tab/>
      </w:r>
      <w:r w:rsidR="007A7980" w:rsidRPr="008B7FDB">
        <w:tab/>
      </w:r>
      <w:r w:rsidR="007A7980" w:rsidRPr="008B7FDB">
        <w:tab/>
      </w:r>
      <w:r>
        <w:tab/>
      </w:r>
      <w:r>
        <w:tab/>
      </w:r>
      <w:r>
        <w:tab/>
      </w:r>
      <w:r>
        <w:tab/>
        <w:t>0-4</w:t>
      </w:r>
    </w:p>
    <w:p w14:paraId="36136BE9" w14:textId="4E2F8BE1" w:rsidR="007A7980" w:rsidRDefault="004127F0" w:rsidP="008B7FDB">
      <w:pPr>
        <w:ind w:firstLine="720"/>
      </w:pPr>
      <w:r>
        <w:t xml:space="preserve">Maintains </w:t>
      </w:r>
      <w:r w:rsidR="00626BAC">
        <w:t xml:space="preserve">ground story at </w:t>
      </w:r>
      <w:r>
        <w:t xml:space="preserve">common </w:t>
      </w:r>
      <w:r w:rsidR="00626BAC">
        <w:t>position</w:t>
      </w:r>
      <w:r w:rsidR="00626BAC">
        <w:tab/>
      </w:r>
      <w:r w:rsidR="00626BAC">
        <w:tab/>
      </w:r>
      <w:r w:rsidR="007A7980">
        <w:tab/>
      </w:r>
      <w:r w:rsidR="008B7FDB">
        <w:tab/>
      </w:r>
      <w:r w:rsidR="008B7FDB">
        <w:tab/>
        <w:t>0-4</w:t>
      </w:r>
      <w:r w:rsidR="008B7FDB">
        <w:tab/>
      </w:r>
      <w:r w:rsidR="00EF6142">
        <w:t xml:space="preserve"> </w:t>
      </w:r>
      <w:r w:rsidR="00131F98">
        <w:t>__/</w:t>
      </w:r>
      <w:r w:rsidR="005062E3">
        <w:t>1</w:t>
      </w:r>
      <w:r w:rsidR="00FD7923">
        <w:t>5</w:t>
      </w:r>
    </w:p>
    <w:p w14:paraId="71306DD5" w14:textId="23F008B9" w:rsidR="00131F98" w:rsidRDefault="00131F98"/>
    <w:p w14:paraId="5FCB9F14" w14:textId="21A29B5C" w:rsidR="002F3BD7" w:rsidRDefault="00DF4BA4" w:rsidP="007A7980">
      <w:r>
        <w:t>S</w:t>
      </w:r>
      <w:r w:rsidR="007A7980">
        <w:t>cale</w:t>
      </w:r>
      <w:r w:rsidR="00131F98">
        <w:t>, massing, height</w:t>
      </w:r>
    </w:p>
    <w:p w14:paraId="1B6C91E9" w14:textId="20C6DD98" w:rsidR="007A7980" w:rsidRDefault="00131F98" w:rsidP="00F477A7">
      <w:r>
        <w:t>Scale</w:t>
      </w:r>
      <w:r w:rsidR="00F477A7">
        <w:tab/>
        <w:t xml:space="preserve">Maintains scale of district and to humans </w:t>
      </w:r>
      <w:r w:rsidR="007A7980">
        <w:tab/>
      </w:r>
      <w:r w:rsidR="007A7980">
        <w:tab/>
      </w:r>
      <w:r w:rsidR="009A383F">
        <w:tab/>
      </w:r>
      <w:r w:rsidR="007A7980">
        <w:tab/>
      </w:r>
      <w:r w:rsidR="007A7980">
        <w:tab/>
      </w:r>
      <w:r w:rsidR="009A383F">
        <w:t>0-</w:t>
      </w:r>
      <w:r w:rsidR="00FD7923">
        <w:t>4</w:t>
      </w:r>
      <w:r w:rsidR="00722A75">
        <w:tab/>
      </w:r>
      <w:r w:rsidR="002F3BD7">
        <w:tab/>
      </w:r>
    </w:p>
    <w:p w14:paraId="4289F412" w14:textId="43C5ADCB" w:rsidR="00131F98" w:rsidRDefault="00131F98" w:rsidP="00F477A7">
      <w:r>
        <w:t>Massing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7948C95" w14:textId="418CDF02" w:rsidR="002F3BD7" w:rsidRDefault="002F3BD7" w:rsidP="00F477A7">
      <w:pPr>
        <w:ind w:firstLine="720"/>
      </w:pPr>
      <w:r>
        <w:t>Relates to historic patterns of massing</w:t>
      </w:r>
      <w:r w:rsidR="00626BAC">
        <w:t xml:space="preserve"> of dominant and secondary</w:t>
      </w:r>
      <w:r>
        <w:tab/>
      </w:r>
      <w:r w:rsidR="00626BAC">
        <w:tab/>
      </w:r>
      <w:r>
        <w:t>0-2</w:t>
      </w:r>
    </w:p>
    <w:p w14:paraId="782CC9FF" w14:textId="54543208" w:rsidR="002F3BD7" w:rsidRDefault="002F3BD7" w:rsidP="002F3BD7">
      <w:r>
        <w:tab/>
        <w:t>Large forms modulated with horizontal/vertical breaks</w:t>
      </w:r>
      <w:r>
        <w:tab/>
      </w:r>
      <w:r>
        <w:tab/>
      </w:r>
      <w:r w:rsidR="00F477A7">
        <w:tab/>
      </w:r>
      <w:r>
        <w:t>0-2</w:t>
      </w:r>
    </w:p>
    <w:p w14:paraId="65175533" w14:textId="77777777" w:rsidR="00F477A7" w:rsidRDefault="002F3BD7" w:rsidP="002F3BD7">
      <w:r>
        <w:tab/>
        <w:t>Roof forms related to building type</w:t>
      </w:r>
      <w:r w:rsidR="00F477A7">
        <w:t xml:space="preserve">; </w:t>
      </w:r>
      <w:r w:rsidR="006962BF">
        <w:t>cover</w:t>
      </w:r>
      <w:r w:rsidR="00F477A7">
        <w:t xml:space="preserve"> </w:t>
      </w:r>
      <w:r w:rsidR="006962BF">
        <w:t>occupiable</w:t>
      </w:r>
      <w:r w:rsidR="00F477A7">
        <w:t xml:space="preserve"> </w:t>
      </w:r>
      <w:r w:rsidR="006962BF">
        <w:t>space</w:t>
      </w:r>
      <w:r w:rsidR="006962BF">
        <w:tab/>
      </w:r>
      <w:r>
        <w:tab/>
        <w:t>0-2</w:t>
      </w:r>
      <w:r w:rsidR="00131F98">
        <w:tab/>
      </w:r>
    </w:p>
    <w:p w14:paraId="1CAF2C54" w14:textId="5D71780C" w:rsidR="00131F98" w:rsidRDefault="00131F98" w:rsidP="002F3BD7">
      <w:r>
        <w:t>Height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37C3D0F9" w14:textId="4EB5156C" w:rsidR="002F3BD7" w:rsidRDefault="00131F98" w:rsidP="002F3BD7">
      <w:r>
        <w:tab/>
      </w:r>
      <w:r w:rsidR="002F3BD7" w:rsidRPr="002F3BD7">
        <w:t>Avoids</w:t>
      </w:r>
      <w:r w:rsidR="00C719C0">
        <w:t xml:space="preserve"> difference in height of more than two stories</w:t>
      </w:r>
      <w:r w:rsidR="00C719C0">
        <w:tab/>
      </w:r>
      <w:r w:rsidR="002F3BD7">
        <w:tab/>
      </w:r>
      <w:r w:rsidR="00F477A7">
        <w:tab/>
      </w:r>
      <w:r w:rsidR="002F3BD7">
        <w:t>0-</w:t>
      </w:r>
      <w:r w:rsidR="00FD7923">
        <w:t>4</w:t>
      </w:r>
    </w:p>
    <w:p w14:paraId="0CF3A183" w14:textId="2EF337F2" w:rsidR="00131F98" w:rsidRPr="002F3BD7" w:rsidRDefault="002F3BD7" w:rsidP="002F3BD7">
      <w:r>
        <w:tab/>
      </w:r>
      <w:r w:rsidR="00F477A7">
        <w:t>U</w:t>
      </w:r>
      <w:r>
        <w:t>ses floor heights to further height compatibility</w:t>
      </w:r>
      <w:r w:rsidR="00131F98" w:rsidRPr="002F3BD7">
        <w:tab/>
      </w:r>
      <w:r w:rsidR="00131F98" w:rsidRPr="002F3BD7">
        <w:tab/>
      </w:r>
      <w:r>
        <w:tab/>
      </w:r>
      <w:r w:rsidR="00F477A7">
        <w:tab/>
      </w:r>
      <w:r>
        <w:t>0-</w:t>
      </w:r>
      <w:r w:rsidR="00FD7923">
        <w:t>4</w:t>
      </w:r>
      <w:r w:rsidR="00131F98" w:rsidRPr="002F3BD7">
        <w:tab/>
      </w:r>
      <w:r w:rsidR="00EF6142">
        <w:t xml:space="preserve"> </w:t>
      </w:r>
      <w:r>
        <w:t>__/1</w:t>
      </w:r>
      <w:r w:rsidR="00EF6142">
        <w:t>8</w:t>
      </w:r>
    </w:p>
    <w:p w14:paraId="2F2651F1" w14:textId="77777777" w:rsidR="00AF75D3" w:rsidRPr="002F3BD7" w:rsidRDefault="00AF75D3" w:rsidP="007A7980"/>
    <w:p w14:paraId="091FE0BE" w14:textId="0285424A" w:rsidR="002F3BD7" w:rsidRPr="004127F0" w:rsidRDefault="00131F98" w:rsidP="007A7980">
      <w:r w:rsidRPr="004127F0">
        <w:t>Provision for automobiles</w:t>
      </w:r>
      <w:r w:rsidR="00F477A7">
        <w:t xml:space="preserve">: </w:t>
      </w:r>
      <w:r w:rsidR="002F3BD7" w:rsidRPr="004127F0">
        <w:t>Maintains patterns</w:t>
      </w:r>
      <w:r w:rsidR="002F3BD7" w:rsidRPr="004127F0">
        <w:tab/>
      </w:r>
      <w:r w:rsidR="002F3BD7" w:rsidRPr="004127F0">
        <w:tab/>
      </w:r>
      <w:r w:rsidR="002F3BD7" w:rsidRPr="004127F0">
        <w:tab/>
      </w:r>
      <w:r w:rsidR="002F3BD7" w:rsidRPr="004127F0">
        <w:tab/>
      </w:r>
      <w:r w:rsidR="002F3BD7" w:rsidRPr="004127F0">
        <w:tab/>
        <w:t>0-</w:t>
      </w:r>
      <w:r w:rsidR="00FD7923" w:rsidRPr="004127F0">
        <w:t>4</w:t>
      </w:r>
      <w:r w:rsidR="002F3BD7" w:rsidRPr="004127F0">
        <w:tab/>
        <w:t>__/</w:t>
      </w:r>
      <w:r w:rsidR="00FD7923" w:rsidRPr="004127F0">
        <w:t>4</w:t>
      </w:r>
    </w:p>
    <w:p w14:paraId="38D5C9C2" w14:textId="66242B6C" w:rsidR="00131F98" w:rsidRPr="00131F98" w:rsidRDefault="00131F98" w:rsidP="007A7980"/>
    <w:p w14:paraId="2E6EF271" w14:textId="77777777" w:rsidR="00131F98" w:rsidRPr="00131F98" w:rsidRDefault="00131F98" w:rsidP="007A7980"/>
    <w:p w14:paraId="4918DB51" w14:textId="38769D1A" w:rsidR="001628DD" w:rsidRDefault="000D2775" w:rsidP="000D2775">
      <w:pPr>
        <w:ind w:firstLine="720"/>
      </w:pPr>
      <w:r>
        <w:tab/>
      </w:r>
      <w:r>
        <w:tab/>
      </w:r>
      <w:r>
        <w:tab/>
      </w:r>
      <w:r>
        <w:tab/>
      </w:r>
      <w:r>
        <w:tab/>
        <w:t>Urban Design total</w:t>
      </w:r>
      <w:r>
        <w:tab/>
      </w:r>
      <w:r>
        <w:tab/>
      </w:r>
      <w:r>
        <w:tab/>
        <w:t>__/</w:t>
      </w:r>
      <w:r w:rsidR="00FD7923">
        <w:t>5</w:t>
      </w:r>
      <w:r w:rsidR="00EF6142">
        <w:t>2</w:t>
      </w:r>
    </w:p>
    <w:p w14:paraId="27AD6654" w14:textId="16FCA115" w:rsidR="00F477A7" w:rsidRDefault="00F477A7" w:rsidP="007A7980">
      <w:pPr>
        <w:rPr>
          <w:b/>
        </w:rPr>
      </w:pPr>
      <w:r>
        <w:rPr>
          <w:b/>
        </w:rPr>
        <w:br/>
      </w:r>
    </w:p>
    <w:p w14:paraId="7D2F3476" w14:textId="77777777" w:rsidR="00F477A7" w:rsidRDefault="00F477A7">
      <w:pPr>
        <w:spacing w:after="120"/>
        <w:rPr>
          <w:b/>
        </w:rPr>
      </w:pPr>
      <w:r>
        <w:rPr>
          <w:b/>
        </w:rPr>
        <w:br w:type="page"/>
      </w:r>
    </w:p>
    <w:p w14:paraId="63A16809" w14:textId="423B6F72" w:rsidR="001628DD" w:rsidRPr="001628DD" w:rsidRDefault="00131F98" w:rsidP="007A7980">
      <w:pPr>
        <w:rPr>
          <w:b/>
        </w:rPr>
      </w:pPr>
      <w:r>
        <w:rPr>
          <w:b/>
        </w:rPr>
        <w:lastRenderedPageBreak/>
        <w:t xml:space="preserve">Section 3. </w:t>
      </w:r>
      <w:r w:rsidR="001628DD">
        <w:rPr>
          <w:b/>
        </w:rPr>
        <w:t>Design Components</w:t>
      </w:r>
    </w:p>
    <w:p w14:paraId="42210E71" w14:textId="77777777" w:rsidR="00AF75D3" w:rsidRDefault="00AF75D3" w:rsidP="007A7980">
      <w:r>
        <w:tab/>
      </w:r>
    </w:p>
    <w:p w14:paraId="411CAFC7" w14:textId="21689EE0" w:rsidR="00F47FB1" w:rsidRDefault="00F47FB1" w:rsidP="007A7980">
      <w:r>
        <w:t xml:space="preserve">General: Compatible Orientation, </w:t>
      </w:r>
      <w:r w:rsidR="00EA7D3A">
        <w:t>Design Quality</w:t>
      </w:r>
      <w:r>
        <w:t>, Presence</w:t>
      </w:r>
    </w:p>
    <w:p w14:paraId="55FCCF0C" w14:textId="6D2B8F92" w:rsidR="00F47FB1" w:rsidRDefault="00F47FB1" w:rsidP="007A7980">
      <w:r>
        <w:tab/>
      </w:r>
      <w:r w:rsidR="006962BF">
        <w:t>Entrance o</w:t>
      </w:r>
      <w:r>
        <w:t>riented to street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62E3">
        <w:t>0-</w:t>
      </w:r>
      <w:r>
        <w:t>3</w:t>
      </w:r>
    </w:p>
    <w:p w14:paraId="0CA66FA3" w14:textId="0F53D473" w:rsidR="00F47FB1" w:rsidRDefault="00F47FB1" w:rsidP="007A7980">
      <w:r>
        <w:tab/>
      </w:r>
      <w:r w:rsidR="006962BF">
        <w:t>Evidence of traditional design principles</w:t>
      </w:r>
      <w:r>
        <w:tab/>
      </w:r>
      <w:r>
        <w:tab/>
      </w:r>
      <w:r>
        <w:tab/>
      </w:r>
      <w:r>
        <w:tab/>
      </w:r>
      <w:r w:rsidR="005062E3">
        <w:t>0-</w:t>
      </w:r>
      <w:r>
        <w:t>3</w:t>
      </w:r>
    </w:p>
    <w:p w14:paraId="6A76342B" w14:textId="5EF04653" w:rsidR="00F47FB1" w:rsidRDefault="00F47FB1" w:rsidP="007A7980">
      <w:r>
        <w:tab/>
      </w:r>
      <w:r w:rsidR="006962BF">
        <w:t>Compatible, well-designed p</w:t>
      </w:r>
      <w:r>
        <w:t>resence</w:t>
      </w:r>
      <w:r>
        <w:tab/>
      </w:r>
      <w:r>
        <w:tab/>
      </w:r>
      <w:r>
        <w:tab/>
      </w:r>
      <w:r>
        <w:tab/>
      </w:r>
      <w:r>
        <w:tab/>
      </w:r>
      <w:r w:rsidR="005062E3">
        <w:t>0-</w:t>
      </w:r>
      <w:r>
        <w:t>3</w:t>
      </w:r>
      <w:r>
        <w:tab/>
      </w:r>
      <w:r>
        <w:tab/>
      </w:r>
    </w:p>
    <w:p w14:paraId="5BB436C9" w14:textId="7F0FFE47" w:rsidR="003C0E8C" w:rsidRDefault="003C0E8C" w:rsidP="003C0E8C">
      <w:r>
        <w:tab/>
        <w:t>District residents would find compatible</w:t>
      </w:r>
      <w:r>
        <w:tab/>
      </w:r>
      <w:r>
        <w:tab/>
      </w:r>
      <w:r>
        <w:tab/>
      </w:r>
      <w:r>
        <w:tab/>
      </w:r>
      <w:r w:rsidR="005062E3">
        <w:t>0-</w:t>
      </w:r>
      <w:r>
        <w:t>3</w:t>
      </w:r>
    </w:p>
    <w:p w14:paraId="2B9FD619" w14:textId="394A5C5C" w:rsidR="00F47FB1" w:rsidRDefault="003C0E8C" w:rsidP="003C0E8C">
      <w:r>
        <w:tab/>
      </w:r>
      <w:r w:rsidR="00AB0772">
        <w:t>360</w:t>
      </w:r>
      <w:r w:rsidR="00197BAE">
        <w:t>-</w:t>
      </w:r>
      <w:r w:rsidR="00AB0772">
        <w:t xml:space="preserve">degree design </w:t>
      </w:r>
      <w:r w:rsidR="00AB0772">
        <w:tab/>
      </w:r>
      <w:r w:rsidR="00AB0772">
        <w:tab/>
      </w:r>
      <w:r w:rsidR="00AB0772">
        <w:tab/>
      </w:r>
      <w:r>
        <w:tab/>
      </w:r>
      <w:r>
        <w:tab/>
      </w:r>
      <w:r>
        <w:tab/>
      </w:r>
      <w:r>
        <w:tab/>
      </w:r>
      <w:r w:rsidR="005062E3">
        <w:t>0-</w:t>
      </w:r>
      <w:r>
        <w:t>3</w:t>
      </w:r>
      <w:r>
        <w:tab/>
      </w:r>
      <w:r>
        <w:tab/>
        <w:t>__/15</w:t>
      </w:r>
    </w:p>
    <w:p w14:paraId="099B02F8" w14:textId="77777777" w:rsidR="003C0E8C" w:rsidRDefault="003C0E8C" w:rsidP="003C0E8C"/>
    <w:p w14:paraId="0933D17B" w14:textId="3BEE227D" w:rsidR="007A7980" w:rsidRDefault="00F47FB1" w:rsidP="00F47FB1">
      <w:r>
        <w:t xml:space="preserve">Use of </w:t>
      </w:r>
      <w:r w:rsidR="007A7980">
        <w:t>façade material</w:t>
      </w:r>
      <w:r w:rsidR="007A7980">
        <w:tab/>
      </w:r>
      <w:r w:rsidR="007A7980">
        <w:tab/>
      </w:r>
      <w:r w:rsidR="007A7980">
        <w:tab/>
      </w:r>
      <w:r w:rsidR="007A7980">
        <w:tab/>
      </w:r>
      <w:r w:rsidR="007A7980">
        <w:tab/>
      </w:r>
      <w:r w:rsidR="007A7980">
        <w:tab/>
      </w:r>
      <w:r w:rsidR="00722A75">
        <w:tab/>
      </w:r>
      <w:r w:rsidR="007A7980">
        <w:tab/>
      </w:r>
      <w:r w:rsidR="007A7980">
        <w:tab/>
      </w:r>
    </w:p>
    <w:p w14:paraId="23F819A7" w14:textId="6BA62C50" w:rsidR="007A7980" w:rsidRDefault="007A7980" w:rsidP="007A7980">
      <w:r>
        <w:tab/>
      </w:r>
      <w:r w:rsidR="00F47FB1">
        <w:t>Uses m</w:t>
      </w:r>
      <w:r w:rsidR="004669E4">
        <w:t xml:space="preserve">ateria(s found in </w:t>
      </w:r>
      <w:r w:rsidR="00F47FB1">
        <w:t>district</w:t>
      </w:r>
      <w:r>
        <w:tab/>
      </w:r>
      <w:r>
        <w:tab/>
      </w:r>
      <w:r>
        <w:tab/>
      </w:r>
      <w:r>
        <w:tab/>
      </w:r>
      <w:r>
        <w:tab/>
      </w:r>
      <w:r w:rsidR="005062E3">
        <w:t>0-5</w:t>
      </w:r>
      <w:r>
        <w:tab/>
      </w:r>
    </w:p>
    <w:p w14:paraId="7FFCD775" w14:textId="520C6962" w:rsidR="007A7980" w:rsidRDefault="007A7980" w:rsidP="007A7980">
      <w:r>
        <w:tab/>
      </w:r>
      <w:r w:rsidR="006962BF">
        <w:t>Uses p</w:t>
      </w:r>
      <w:r w:rsidR="00F47FB1">
        <w:t>rimary façade material</w:t>
      </w:r>
      <w:r w:rsidR="00F47FB1">
        <w:tab/>
      </w:r>
      <w:r w:rsidR="00F47FB1">
        <w:tab/>
      </w:r>
      <w:r w:rsidR="00F47FB1">
        <w:tab/>
      </w:r>
      <w:r w:rsidR="00743FF6">
        <w:tab/>
      </w:r>
      <w:r w:rsidR="00743FF6">
        <w:tab/>
      </w:r>
      <w:r w:rsidR="007B3E49">
        <w:tab/>
      </w:r>
      <w:r w:rsidR="005062E3">
        <w:t>0-</w:t>
      </w:r>
      <w:r w:rsidR="00F47FB1">
        <w:t>4</w:t>
      </w:r>
    </w:p>
    <w:p w14:paraId="16639F1F" w14:textId="5E3EC9BD" w:rsidR="00F47FB1" w:rsidRDefault="00F47FB1" w:rsidP="007A7980">
      <w:r>
        <w:tab/>
      </w:r>
      <w:r w:rsidR="00C719C0">
        <w:t xml:space="preserve">Respects “rule of five” for total number of materials </w:t>
      </w:r>
      <w:r w:rsidR="00C719C0">
        <w:tab/>
      </w:r>
      <w:r>
        <w:tab/>
      </w:r>
      <w:r w:rsidR="005062E3">
        <w:t>0-</w:t>
      </w:r>
      <w:r>
        <w:t>3</w:t>
      </w:r>
    </w:p>
    <w:p w14:paraId="21E2A1C3" w14:textId="7AB17779" w:rsidR="007A7980" w:rsidRDefault="007A7980" w:rsidP="007A7980">
      <w:r>
        <w:tab/>
      </w:r>
      <w:r w:rsidR="006962BF">
        <w:t xml:space="preserve">Uses materials in traditional manner </w:t>
      </w:r>
      <w:r w:rsidR="00F47FB1">
        <w:tab/>
      </w:r>
      <w:r w:rsidR="00F47FB1">
        <w:tab/>
      </w:r>
      <w:r w:rsidR="00F47FB1">
        <w:tab/>
      </w:r>
      <w:r w:rsidR="00B54F47">
        <w:tab/>
      </w:r>
      <w:r w:rsidR="005062E3">
        <w:t>0-</w:t>
      </w:r>
      <w:r w:rsidR="00F47FB1">
        <w:t>3</w:t>
      </w:r>
      <w:r w:rsidR="00F47FB1">
        <w:tab/>
      </w:r>
      <w:r w:rsidR="00F47FB1">
        <w:tab/>
        <w:t>__/1</w:t>
      </w:r>
      <w:r w:rsidR="005062E3">
        <w:t>5</w:t>
      </w:r>
    </w:p>
    <w:p w14:paraId="0E646BDE" w14:textId="77777777" w:rsidR="007A7980" w:rsidRDefault="007A7980" w:rsidP="007A7980">
      <w:r>
        <w:tab/>
      </w:r>
    </w:p>
    <w:p w14:paraId="3D8AD5B3" w14:textId="668A2A74" w:rsidR="007A7980" w:rsidRDefault="00F47FB1" w:rsidP="007A7980">
      <w:r>
        <w:t xml:space="preserve">Use of </w:t>
      </w:r>
      <w:r w:rsidR="00C719C0">
        <w:t>s</w:t>
      </w:r>
      <w:r w:rsidR="007A7980">
        <w:t>econdary façade and accent materials</w:t>
      </w:r>
    </w:p>
    <w:p w14:paraId="79D473AC" w14:textId="4FA2C75C" w:rsidR="00F47FB1" w:rsidRDefault="007A7980" w:rsidP="007A7980">
      <w:r>
        <w:tab/>
      </w:r>
      <w:r w:rsidR="00F47FB1">
        <w:t xml:space="preserve">Uses materials in district </w:t>
      </w:r>
      <w:r w:rsidR="00F47FB1">
        <w:tab/>
      </w:r>
      <w:r w:rsidR="00F47FB1">
        <w:tab/>
      </w:r>
      <w:r w:rsidR="00F47FB1">
        <w:tab/>
      </w:r>
      <w:r w:rsidR="00F47FB1">
        <w:tab/>
      </w:r>
      <w:r w:rsidR="00F47FB1">
        <w:tab/>
      </w:r>
      <w:r w:rsidR="00F47FB1">
        <w:tab/>
      </w:r>
      <w:r w:rsidR="005062E3">
        <w:t>0-</w:t>
      </w:r>
      <w:r w:rsidR="00C719C0">
        <w:t>3</w:t>
      </w:r>
    </w:p>
    <w:p w14:paraId="59418CB5" w14:textId="12FD458B" w:rsidR="00F47FB1" w:rsidRDefault="00197BAE" w:rsidP="00F47FB1">
      <w:pPr>
        <w:ind w:firstLine="720"/>
      </w:pPr>
      <w:r>
        <w:t xml:space="preserve">Materials changed </w:t>
      </w:r>
      <w:r w:rsidR="00F47FB1">
        <w:t>at vertical plane</w:t>
      </w:r>
      <w:r w:rsidR="005062E3">
        <w:t xml:space="preserve">, </w:t>
      </w:r>
      <w:r w:rsidR="00F47FB1">
        <w:t>story breaks</w:t>
      </w:r>
      <w:r w:rsidR="005062E3">
        <w:t>, bays</w:t>
      </w:r>
      <w:r w:rsidR="00F47FB1">
        <w:tab/>
      </w:r>
      <w:r w:rsidR="00F47FB1">
        <w:tab/>
      </w:r>
      <w:r w:rsidR="005062E3">
        <w:t>0-</w:t>
      </w:r>
      <w:r w:rsidR="00C719C0">
        <w:t>3</w:t>
      </w:r>
    </w:p>
    <w:p w14:paraId="65452C90" w14:textId="2438DC7F" w:rsidR="00F47FB1" w:rsidRDefault="00F47FB1" w:rsidP="00F47FB1">
      <w:pPr>
        <w:ind w:firstLine="720"/>
      </w:pPr>
      <w:r>
        <w:t>Uses traditional window materials: wood and metal</w:t>
      </w:r>
      <w:r>
        <w:tab/>
      </w:r>
      <w:r>
        <w:tab/>
      </w:r>
      <w:r>
        <w:tab/>
      </w:r>
      <w:r w:rsidR="00AB0772">
        <w:t>0-</w:t>
      </w:r>
      <w:r w:rsidR="005062E3">
        <w:t>4</w:t>
      </w:r>
      <w:r>
        <w:tab/>
      </w:r>
      <w:r>
        <w:tab/>
        <w:t>__/1</w:t>
      </w:r>
      <w:r w:rsidR="005062E3">
        <w:t>0</w:t>
      </w:r>
    </w:p>
    <w:p w14:paraId="25DAF94C" w14:textId="5C9AA87B" w:rsidR="00F47FB1" w:rsidRDefault="00F47FB1" w:rsidP="00F47FB1">
      <w:pPr>
        <w:ind w:firstLine="720"/>
      </w:pPr>
      <w:r>
        <w:tab/>
      </w:r>
    </w:p>
    <w:p w14:paraId="314BD3D0" w14:textId="6024F9D9" w:rsidR="007A7980" w:rsidRDefault="00F47FB1" w:rsidP="007A7980">
      <w:r>
        <w:t xml:space="preserve">Use of </w:t>
      </w:r>
      <w:r w:rsidR="007A7980">
        <w:t>Color</w:t>
      </w:r>
      <w:r w:rsidR="007A7980">
        <w:tab/>
      </w:r>
    </w:p>
    <w:p w14:paraId="4509A668" w14:textId="6D46ABED" w:rsidR="007A7980" w:rsidRDefault="007A7980" w:rsidP="007A7980">
      <w:r>
        <w:tab/>
        <w:t>One color dominant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5062E3">
        <w:tab/>
        <w:t>0-</w:t>
      </w:r>
      <w:r w:rsidR="000A2C30">
        <w:t>5</w:t>
      </w:r>
    </w:p>
    <w:p w14:paraId="5EAF8B26" w14:textId="7076E53D" w:rsidR="000A2C30" w:rsidRDefault="000A2C30" w:rsidP="007A7980">
      <w:r>
        <w:tab/>
        <w:t>Dominant color traditional mineral-based color</w:t>
      </w:r>
      <w:r>
        <w:tab/>
      </w:r>
      <w:r>
        <w:tab/>
      </w:r>
      <w:r w:rsidR="005062E3">
        <w:tab/>
        <w:t>0-</w:t>
      </w:r>
      <w:r>
        <w:t>5</w:t>
      </w:r>
    </w:p>
    <w:p w14:paraId="1E41C770" w14:textId="31F4E8E9" w:rsidR="007A7980" w:rsidRDefault="007A7980" w:rsidP="007A7980">
      <w:r>
        <w:tab/>
        <w:t xml:space="preserve">Color similar </w:t>
      </w:r>
      <w:r w:rsidR="00197BAE">
        <w:t xml:space="preserve">in </w:t>
      </w:r>
      <w:r>
        <w:t>value and saturation as context</w:t>
      </w:r>
      <w:r w:rsidR="00B752C5">
        <w:tab/>
      </w:r>
      <w:r w:rsidR="00B752C5">
        <w:tab/>
      </w:r>
      <w:r w:rsidR="005062E3">
        <w:tab/>
        <w:t>0-</w:t>
      </w:r>
      <w:r w:rsidR="007B3E49">
        <w:t>3</w:t>
      </w:r>
    </w:p>
    <w:p w14:paraId="5C8CDD7E" w14:textId="7800B6A6" w:rsidR="007A7980" w:rsidRDefault="007A7980" w:rsidP="007A7980">
      <w:r>
        <w:tab/>
        <w:t>Secondary colors compatible contrast with dominant</w:t>
      </w:r>
      <w:r w:rsidR="00AF75D3">
        <w:tab/>
      </w:r>
      <w:r w:rsidR="005062E3">
        <w:tab/>
        <w:t>0-2</w:t>
      </w:r>
      <w:r w:rsidR="000A2C30">
        <w:tab/>
      </w:r>
      <w:r w:rsidR="000A2C30">
        <w:tab/>
        <w:t>__/1</w:t>
      </w:r>
      <w:r w:rsidR="005062E3">
        <w:t>5</w:t>
      </w:r>
    </w:p>
    <w:p w14:paraId="5BA15D2A" w14:textId="26E83FAB" w:rsidR="007B3E49" w:rsidRDefault="007B3E49" w:rsidP="007A7980"/>
    <w:p w14:paraId="37B43245" w14:textId="28FADFCE" w:rsidR="00AF75D3" w:rsidRDefault="00AF75D3" w:rsidP="007A7980">
      <w:r>
        <w:t>Façade design</w:t>
      </w:r>
      <w:r w:rsidR="00B54F47">
        <w:tab/>
      </w:r>
      <w:r w:rsidR="00B54F47">
        <w:tab/>
      </w:r>
      <w:r w:rsidR="00B54F47">
        <w:tab/>
      </w:r>
      <w:r w:rsidR="00B54F47">
        <w:tab/>
      </w:r>
      <w:r w:rsidR="00B54F47">
        <w:tab/>
      </w:r>
      <w:r w:rsidR="00B54F47">
        <w:tab/>
      </w:r>
      <w:r w:rsidR="00B54F47">
        <w:tab/>
      </w:r>
      <w:r w:rsidR="00B54F47">
        <w:tab/>
      </w:r>
      <w:r w:rsidR="00B54F47">
        <w:tab/>
      </w:r>
      <w:r w:rsidR="00722A75">
        <w:tab/>
      </w:r>
      <w:r w:rsidR="00B54F47">
        <w:tab/>
      </w:r>
    </w:p>
    <w:p w14:paraId="16F94BD9" w14:textId="7E0C3C56" w:rsidR="00AF75D3" w:rsidRDefault="00AF75D3" w:rsidP="007A7980">
      <w:r>
        <w:tab/>
        <w:t>Has elements of similar scale as context</w:t>
      </w:r>
      <w:r w:rsidR="00B54F47">
        <w:tab/>
      </w:r>
      <w:r w:rsidR="00B54F47">
        <w:tab/>
      </w:r>
      <w:r w:rsidR="00B54F47">
        <w:tab/>
      </w:r>
      <w:r w:rsidR="005062E3">
        <w:tab/>
        <w:t>0-</w:t>
      </w:r>
      <w:r w:rsidR="003C0E8C">
        <w:t>5</w:t>
      </w:r>
    </w:p>
    <w:p w14:paraId="74DF81F2" w14:textId="541034C6" w:rsidR="001628DD" w:rsidRDefault="00AF75D3" w:rsidP="007A7980">
      <w:r>
        <w:tab/>
      </w:r>
      <w:r w:rsidR="008E3399">
        <w:t>Avoids mixing disparate elements</w:t>
      </w:r>
      <w:r w:rsidR="008E3399">
        <w:tab/>
      </w:r>
      <w:r w:rsidR="008E3399">
        <w:tab/>
      </w:r>
      <w:r w:rsidR="001628DD">
        <w:tab/>
      </w:r>
      <w:r w:rsidR="00371246">
        <w:tab/>
      </w:r>
      <w:r w:rsidR="005062E3">
        <w:tab/>
        <w:t>0-5</w:t>
      </w:r>
    </w:p>
    <w:p w14:paraId="3D891102" w14:textId="6FDF69FA" w:rsidR="00AF75D3" w:rsidRDefault="00F44857" w:rsidP="00B752C5">
      <w:pPr>
        <w:ind w:firstLine="720"/>
      </w:pPr>
      <w:r>
        <w:t>Has degree of articulation similar to context</w:t>
      </w:r>
      <w:r>
        <w:tab/>
      </w:r>
      <w:r w:rsidR="00371246">
        <w:tab/>
      </w:r>
      <w:r w:rsidR="00371246">
        <w:tab/>
      </w:r>
      <w:r w:rsidR="005062E3">
        <w:tab/>
        <w:t>0-5</w:t>
      </w:r>
    </w:p>
    <w:p w14:paraId="4E5E4960" w14:textId="413904E1" w:rsidR="00AF75D3" w:rsidRDefault="00AF75D3" w:rsidP="007A7980">
      <w:r>
        <w:tab/>
      </w:r>
      <w:r w:rsidR="00F477A7">
        <w:t>Has logical and compatible f</w:t>
      </w:r>
      <w:r w:rsidR="003C0E8C">
        <w:t xml:space="preserve">enestration </w:t>
      </w:r>
      <w:r w:rsidR="009F571E">
        <w:tab/>
      </w:r>
      <w:r w:rsidR="009F571E">
        <w:tab/>
      </w:r>
      <w:r w:rsidR="009F571E">
        <w:tab/>
      </w:r>
      <w:r w:rsidR="005062E3">
        <w:tab/>
        <w:t>0-</w:t>
      </w:r>
      <w:r w:rsidR="003C0E8C">
        <w:t>5</w:t>
      </w:r>
      <w:r w:rsidR="003C0E8C">
        <w:tab/>
      </w:r>
      <w:r w:rsidR="003C0E8C">
        <w:tab/>
      </w:r>
    </w:p>
    <w:p w14:paraId="1231C4F0" w14:textId="26C97CA2" w:rsidR="00B752C5" w:rsidRDefault="00F477A7" w:rsidP="007A7980">
      <w:r>
        <w:tab/>
        <w:t xml:space="preserve">Clear evidence of architectural design principles </w:t>
      </w:r>
      <w:r>
        <w:tab/>
      </w:r>
      <w:r>
        <w:tab/>
      </w:r>
      <w:r>
        <w:tab/>
        <w:t>0-5</w:t>
      </w:r>
      <w:r>
        <w:tab/>
      </w:r>
      <w:r>
        <w:tab/>
        <w:t>__/25</w:t>
      </w:r>
    </w:p>
    <w:p w14:paraId="0C80ADAE" w14:textId="77777777" w:rsidR="00197BAE" w:rsidRDefault="00197BAE"/>
    <w:p w14:paraId="744C0742" w14:textId="72B7B3FC" w:rsidR="001628DD" w:rsidRDefault="00197BAE">
      <w:r>
        <w:t>Recognizing the Effort</w:t>
      </w:r>
    </w:p>
    <w:p w14:paraId="416DC070" w14:textId="6071F11B" w:rsidR="003C0E8C" w:rsidRDefault="003C0E8C">
      <w:r>
        <w:tab/>
        <w:t>Response to context</w:t>
      </w:r>
      <w:r w:rsidR="00B72237">
        <w:t xml:space="preserve"> _________________________</w:t>
      </w:r>
      <w:r>
        <w:tab/>
      </w:r>
      <w:r>
        <w:tab/>
      </w:r>
      <w:r w:rsidR="005062E3">
        <w:tab/>
      </w:r>
      <w:r>
        <w:t>5</w:t>
      </w:r>
    </w:p>
    <w:p w14:paraId="0F880AED" w14:textId="424E4ADC" w:rsidR="003C0E8C" w:rsidRDefault="003C0E8C">
      <w:r>
        <w:tab/>
        <w:t>Compa</w:t>
      </w:r>
      <w:r w:rsidR="00C719C0">
        <w:t>rability/differentiation ratio</w:t>
      </w:r>
      <w:r w:rsidR="00B72237">
        <w:t xml:space="preserve"> _______________</w:t>
      </w:r>
      <w:r>
        <w:tab/>
      </w:r>
      <w:r w:rsidR="005062E3">
        <w:tab/>
      </w:r>
      <w:r>
        <w:t>5</w:t>
      </w:r>
      <w:r>
        <w:tab/>
      </w:r>
      <w:r>
        <w:tab/>
        <w:t>__/10</w:t>
      </w:r>
    </w:p>
    <w:p w14:paraId="42E0DB31" w14:textId="77777777" w:rsidR="003C0E8C" w:rsidRDefault="003C0E8C"/>
    <w:p w14:paraId="23BF5721" w14:textId="52AFC7DE" w:rsidR="001628DD" w:rsidRDefault="001628DD">
      <w:r>
        <w:t xml:space="preserve">Total:  </w:t>
      </w:r>
      <w:r w:rsidR="00D00D79">
        <w:tab/>
      </w:r>
      <w:r w:rsidR="00D00D79">
        <w:tab/>
      </w:r>
      <w:r w:rsidR="00D00D79">
        <w:tab/>
      </w:r>
      <w:r w:rsidR="00D00D79">
        <w:tab/>
      </w:r>
      <w:r w:rsidR="00D00D79">
        <w:tab/>
      </w:r>
      <w:r w:rsidR="00D00D79">
        <w:tab/>
      </w:r>
      <w:r w:rsidR="00D00D79">
        <w:tab/>
      </w:r>
      <w:r w:rsidR="00D00D79">
        <w:tab/>
      </w:r>
      <w:r w:rsidR="00D00D79">
        <w:tab/>
      </w:r>
      <w:r w:rsidR="001B778A">
        <w:tab/>
      </w:r>
      <w:r w:rsidR="001B778A">
        <w:tab/>
      </w:r>
      <w:r w:rsidR="00EF1C79">
        <w:t xml:space="preserve">  </w:t>
      </w:r>
      <w:r w:rsidR="00EF1C79">
        <w:tab/>
        <w:t>__/90</w:t>
      </w:r>
      <w:r w:rsidR="001B778A">
        <w:tab/>
      </w:r>
      <w:r w:rsidR="001B778A">
        <w:tab/>
      </w:r>
      <w:r w:rsidR="001B778A">
        <w:tab/>
      </w:r>
      <w:r w:rsidR="001B778A">
        <w:tab/>
      </w:r>
      <w:r w:rsidR="001B778A">
        <w:tab/>
      </w:r>
      <w:r w:rsidR="001B778A">
        <w:tab/>
      </w:r>
      <w:r w:rsidR="001B778A">
        <w:tab/>
      </w:r>
      <w:r w:rsidR="001B778A">
        <w:tab/>
      </w:r>
      <w:r w:rsidR="001B778A">
        <w:tab/>
      </w:r>
    </w:p>
    <w:p w14:paraId="7E7E530B" w14:textId="748641BA" w:rsidR="001628DD" w:rsidRDefault="001B778A">
      <w:r>
        <w:tab/>
      </w:r>
      <w:r>
        <w:tab/>
      </w:r>
      <w:r>
        <w:tab/>
      </w:r>
      <w:r>
        <w:tab/>
        <w:t>Urban Form Score _____</w:t>
      </w:r>
      <w:r w:rsidR="000D2775">
        <w:t>___</w:t>
      </w:r>
      <w:r>
        <w:t>_</w:t>
      </w:r>
      <w:r w:rsidR="003C0E8C">
        <w:t>/</w:t>
      </w:r>
      <w:r w:rsidR="00FD7923">
        <w:t>5</w:t>
      </w:r>
      <w:r w:rsidR="00EF6142">
        <w:t>2</w:t>
      </w:r>
    </w:p>
    <w:p w14:paraId="4F44C6D4" w14:textId="02A91234" w:rsidR="001B778A" w:rsidRDefault="001B778A">
      <w:r>
        <w:tab/>
      </w:r>
      <w:r>
        <w:tab/>
      </w:r>
      <w:r>
        <w:tab/>
      </w:r>
      <w:r>
        <w:tab/>
        <w:t>Design Score _____________</w:t>
      </w:r>
      <w:r w:rsidR="003C0E8C">
        <w:t>/</w:t>
      </w:r>
      <w:r w:rsidR="00F477A7">
        <w:t>90</w:t>
      </w:r>
    </w:p>
    <w:p w14:paraId="6C144824" w14:textId="21DD2833" w:rsidR="001628DD" w:rsidRDefault="001B778A">
      <w:r>
        <w:tab/>
      </w:r>
      <w:r>
        <w:tab/>
      </w:r>
      <w:r>
        <w:tab/>
      </w:r>
      <w:r>
        <w:tab/>
        <w:t>Compatibility ranking _______</w:t>
      </w:r>
      <w:r w:rsidR="000D2775">
        <w:t>________</w:t>
      </w:r>
      <w:r>
        <w:t>_</w:t>
      </w:r>
      <w:r w:rsidR="003C0E8C">
        <w:t>/1</w:t>
      </w:r>
      <w:r w:rsidR="00F477A7">
        <w:t>4</w:t>
      </w:r>
      <w:r w:rsidR="00EF6142">
        <w:t>2</w:t>
      </w:r>
      <w:r w:rsidR="008B7160">
        <w:t xml:space="preserve"> (___%)</w:t>
      </w:r>
    </w:p>
    <w:sectPr w:rsidR="001628DD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1B46CC" w14:textId="77777777" w:rsidR="003F0260" w:rsidRDefault="003F0260" w:rsidP="00DF4BA4">
      <w:r>
        <w:separator/>
      </w:r>
    </w:p>
  </w:endnote>
  <w:endnote w:type="continuationSeparator" w:id="0">
    <w:p w14:paraId="6580F5FE" w14:textId="77777777" w:rsidR="003F0260" w:rsidRDefault="003F0260" w:rsidP="00DF4B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1354030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4FF7719D" w14:textId="1128C5AD" w:rsidR="00DF4BA4" w:rsidRPr="00DF4BA4" w:rsidRDefault="00DF4BA4" w:rsidP="00DF4BA4">
        <w:pPr>
          <w:pStyle w:val="Footer"/>
          <w:rPr>
            <w:sz w:val="20"/>
          </w:rPr>
        </w:pPr>
        <w:r>
          <w:t xml:space="preserve">Browne’s Addition New Construction </w:t>
        </w:r>
        <w:r w:rsidR="00197BAE">
          <w:t>Rating</w:t>
        </w:r>
        <w:r>
          <w:tab/>
        </w:r>
        <w:r w:rsidRPr="00DF4BA4">
          <w:rPr>
            <w:sz w:val="20"/>
          </w:rPr>
          <w:fldChar w:fldCharType="begin"/>
        </w:r>
        <w:r w:rsidRPr="00DF4BA4">
          <w:rPr>
            <w:sz w:val="20"/>
          </w:rPr>
          <w:instrText xml:space="preserve"> PAGE   \* MERGEFORMAT </w:instrText>
        </w:r>
        <w:r w:rsidRPr="00DF4BA4">
          <w:rPr>
            <w:sz w:val="20"/>
          </w:rPr>
          <w:fldChar w:fldCharType="separate"/>
        </w:r>
        <w:r w:rsidR="00CA2EB9">
          <w:rPr>
            <w:noProof/>
            <w:sz w:val="20"/>
          </w:rPr>
          <w:t>2</w:t>
        </w:r>
        <w:r w:rsidRPr="00DF4BA4">
          <w:rPr>
            <w:noProof/>
            <w:sz w:val="20"/>
          </w:rPr>
          <w:fldChar w:fldCharType="end"/>
        </w:r>
      </w:p>
    </w:sdtContent>
  </w:sdt>
  <w:p w14:paraId="169B7040" w14:textId="5444016C" w:rsidR="00DF4BA4" w:rsidRDefault="00DF4B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E6959" w14:textId="77777777" w:rsidR="003F0260" w:rsidRDefault="003F0260" w:rsidP="00DF4BA4">
      <w:r>
        <w:separator/>
      </w:r>
    </w:p>
  </w:footnote>
  <w:footnote w:type="continuationSeparator" w:id="0">
    <w:p w14:paraId="19E78A20" w14:textId="77777777" w:rsidR="003F0260" w:rsidRDefault="003F0260" w:rsidP="00DF4B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C56"/>
    <w:rsid w:val="000A2C30"/>
    <w:rsid w:val="000A77D0"/>
    <w:rsid w:val="000D2775"/>
    <w:rsid w:val="001255E4"/>
    <w:rsid w:val="00127EEA"/>
    <w:rsid w:val="00131F98"/>
    <w:rsid w:val="001628DD"/>
    <w:rsid w:val="0017182D"/>
    <w:rsid w:val="00197BAE"/>
    <w:rsid w:val="001B5EFC"/>
    <w:rsid w:val="001B778A"/>
    <w:rsid w:val="002F3BD7"/>
    <w:rsid w:val="00361F3B"/>
    <w:rsid w:val="003620B2"/>
    <w:rsid w:val="00371246"/>
    <w:rsid w:val="003C0E8C"/>
    <w:rsid w:val="003F0260"/>
    <w:rsid w:val="004127F0"/>
    <w:rsid w:val="004669E4"/>
    <w:rsid w:val="00474C6A"/>
    <w:rsid w:val="004D73C4"/>
    <w:rsid w:val="005062E3"/>
    <w:rsid w:val="005A5AEB"/>
    <w:rsid w:val="00626BAC"/>
    <w:rsid w:val="006962BF"/>
    <w:rsid w:val="00722A75"/>
    <w:rsid w:val="00743FF6"/>
    <w:rsid w:val="007A7980"/>
    <w:rsid w:val="007B3E49"/>
    <w:rsid w:val="007B4105"/>
    <w:rsid w:val="008B7160"/>
    <w:rsid w:val="008B7FDB"/>
    <w:rsid w:val="008E3399"/>
    <w:rsid w:val="008E4A6D"/>
    <w:rsid w:val="009900D3"/>
    <w:rsid w:val="009A383F"/>
    <w:rsid w:val="009C738B"/>
    <w:rsid w:val="009F571E"/>
    <w:rsid w:val="00AB0772"/>
    <w:rsid w:val="00AC2F9A"/>
    <w:rsid w:val="00AE088D"/>
    <w:rsid w:val="00AE6537"/>
    <w:rsid w:val="00AF75D3"/>
    <w:rsid w:val="00B05C56"/>
    <w:rsid w:val="00B24285"/>
    <w:rsid w:val="00B54F47"/>
    <w:rsid w:val="00B72237"/>
    <w:rsid w:val="00B752C5"/>
    <w:rsid w:val="00C256A3"/>
    <w:rsid w:val="00C3081A"/>
    <w:rsid w:val="00C4609B"/>
    <w:rsid w:val="00C55A42"/>
    <w:rsid w:val="00C719C0"/>
    <w:rsid w:val="00CA2EB9"/>
    <w:rsid w:val="00D00D79"/>
    <w:rsid w:val="00D56DBC"/>
    <w:rsid w:val="00D9775E"/>
    <w:rsid w:val="00DF4BA4"/>
    <w:rsid w:val="00E23149"/>
    <w:rsid w:val="00EA7D3A"/>
    <w:rsid w:val="00EF1C79"/>
    <w:rsid w:val="00EF6142"/>
    <w:rsid w:val="00F045B5"/>
    <w:rsid w:val="00F44857"/>
    <w:rsid w:val="00F477A7"/>
    <w:rsid w:val="00F47FB1"/>
    <w:rsid w:val="00FD7923"/>
    <w:rsid w:val="00FE7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23831"/>
  <w15:docId w15:val="{55446103-84C1-43A5-9B1E-A268F116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="Times New Roman"/>
        <w:sz w:val="24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B7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77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4B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4BA4"/>
  </w:style>
  <w:style w:type="paragraph" w:styleId="Footer">
    <w:name w:val="footer"/>
    <w:basedOn w:val="Normal"/>
    <w:link w:val="FooterChar"/>
    <w:uiPriority w:val="99"/>
    <w:unhideWhenUsed/>
    <w:rsid w:val="00DF4B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4B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444</Words>
  <Characters>2532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Saint Louis</Company>
  <LinksUpToDate>false</LinksUpToDate>
  <CharactersWithSpaces>2971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Betsy Bradley</dc:creator>
  <cp:keywords/>
  <dc:description/>
  <cp:lastModifiedBy>Duvall, Megan</cp:lastModifiedBy>
  <cp:revision>2</cp:revision>
  <cp:lastPrinted>2018-10-04T18:02:00Z</cp:lastPrinted>
  <dcterms:created xsi:type="dcterms:W3CDTF">2018-10-09T16:02:00Z</dcterms:created>
  <dcterms:modified xsi:type="dcterms:W3CDTF">2018-10-09T16:02:00Z</dcterms:modified>
</cp:coreProperties>
</file>